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highlight w:val="none"/>
        </w:rPr>
      </w:pPr>
      <w:bookmarkStart w:id="0" w:name="_GoBack"/>
      <w:bookmarkEnd w:id="0"/>
      <w:r>
        <w:rPr>
          <w:rFonts w:hint="eastAsia" w:ascii="宋体" w:hAnsi="宋体" w:cs="宋体"/>
          <w:b/>
          <w:bCs/>
          <w:sz w:val="32"/>
          <w:szCs w:val="32"/>
          <w:highlight w:val="none"/>
          <w:lang w:eastAsia="zh-CN"/>
        </w:rPr>
        <w:t>拍辅机构综合能力</w:t>
      </w:r>
      <w:r>
        <w:rPr>
          <w:rFonts w:hint="eastAsia" w:ascii="宋体" w:hAnsi="宋体" w:cs="宋体"/>
          <w:b/>
          <w:bCs/>
          <w:sz w:val="32"/>
          <w:szCs w:val="32"/>
          <w:highlight w:val="none"/>
        </w:rPr>
        <w:t>评分表</w:t>
      </w:r>
    </w:p>
    <w:tbl>
      <w:tblPr>
        <w:tblStyle w:val="3"/>
        <w:tblW w:w="4998" w:type="pct"/>
        <w:tblInd w:w="0" w:type="dxa"/>
        <w:tblLayout w:type="autofit"/>
        <w:tblCellMar>
          <w:top w:w="0" w:type="dxa"/>
          <w:left w:w="0" w:type="dxa"/>
          <w:bottom w:w="0" w:type="dxa"/>
          <w:right w:w="0" w:type="dxa"/>
        </w:tblCellMar>
      </w:tblPr>
      <w:tblGrid>
        <w:gridCol w:w="538"/>
        <w:gridCol w:w="1319"/>
        <w:gridCol w:w="5893"/>
        <w:gridCol w:w="583"/>
      </w:tblGrid>
      <w:tr>
        <w:tblPrEx>
          <w:tblCellMar>
            <w:top w:w="0" w:type="dxa"/>
            <w:left w:w="0" w:type="dxa"/>
            <w:bottom w:w="0" w:type="dxa"/>
            <w:right w:w="0" w:type="dxa"/>
          </w:tblCellMar>
        </w:tblPrEx>
        <w:trPr>
          <w:trHeight w:val="360" w:hRule="atLeast"/>
        </w:trPr>
        <w:tc>
          <w:tcPr>
            <w:tcW w:w="323" w:type="pct"/>
            <w:vMerge w:val="restart"/>
            <w:tcBorders>
              <w:top w:val="single" w:color="000000" w:sz="4" w:space="0"/>
              <w:left w:val="single" w:color="auto"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2"/>
                <w:sz w:val="22"/>
                <w:szCs w:val="22"/>
                <w:u w:val="none"/>
                <w:lang w:val="en-US" w:eastAsia="zh-CN" w:bidi="ar-SA"/>
              </w:rPr>
              <w:t>序号</w:t>
            </w:r>
          </w:p>
        </w:tc>
        <w:tc>
          <w:tcPr>
            <w:tcW w:w="4326" w:type="pct"/>
            <w:gridSpan w:val="2"/>
            <w:tcBorders>
              <w:top w:val="single" w:color="000000" w:sz="4" w:space="0"/>
              <w:left w:val="single" w:color="000000" w:sz="4" w:space="0"/>
              <w:bottom w:val="single" w:color="auto"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投标人及服务</w:t>
            </w:r>
          </w:p>
        </w:tc>
        <w:tc>
          <w:tcPr>
            <w:tcW w:w="350" w:type="pct"/>
            <w:vMerge w:val="restart"/>
            <w:tcBorders>
              <w:top w:val="single" w:color="000000" w:sz="4" w:space="0"/>
              <w:left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分值</w:t>
            </w:r>
          </w:p>
        </w:tc>
      </w:tr>
      <w:tr>
        <w:tblPrEx>
          <w:tblCellMar>
            <w:top w:w="0" w:type="dxa"/>
            <w:left w:w="0" w:type="dxa"/>
            <w:bottom w:w="0" w:type="dxa"/>
            <w:right w:w="0" w:type="dxa"/>
          </w:tblCellMar>
        </w:tblPrEx>
        <w:trPr>
          <w:trHeight w:val="360" w:hRule="atLeast"/>
        </w:trPr>
        <w:tc>
          <w:tcPr>
            <w:tcW w:w="323" w:type="pct"/>
            <w:vMerge w:val="continue"/>
            <w:tcBorders>
              <w:left w:val="single" w:color="auto" w:sz="4" w:space="0"/>
              <w:bottom w:val="single" w:color="auto"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p>
        </w:tc>
        <w:tc>
          <w:tcPr>
            <w:tcW w:w="791" w:type="pct"/>
            <w:tcBorders>
              <w:top w:val="single" w:color="000000" w:sz="4" w:space="0"/>
              <w:left w:val="single" w:color="000000" w:sz="4" w:space="0"/>
              <w:bottom w:val="single" w:color="auto"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评分点</w:t>
            </w:r>
          </w:p>
        </w:tc>
        <w:tc>
          <w:tcPr>
            <w:tcW w:w="3534" w:type="pct"/>
            <w:tcBorders>
              <w:top w:val="single" w:color="000000" w:sz="4" w:space="0"/>
              <w:left w:val="single" w:color="000000" w:sz="4" w:space="0"/>
              <w:bottom w:val="single" w:color="auto"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评分细则</w:t>
            </w:r>
          </w:p>
        </w:tc>
        <w:tc>
          <w:tcPr>
            <w:tcW w:w="350" w:type="pct"/>
            <w:vMerge w:val="continue"/>
            <w:tcBorders>
              <w:left w:val="single" w:color="000000" w:sz="4" w:space="0"/>
              <w:bottom w:val="single" w:color="auto"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服务方案</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1、方案一般，人员及分工配置一般，能基本满足拍卖辅助服务要求，得10分。</w:t>
            </w:r>
          </w:p>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 xml:space="preserve">2、方案科学合理，人员及分工配置科学，能满足拍卖辅助服务要求，得15分； </w:t>
            </w:r>
          </w:p>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 xml:space="preserve">3、方案较科学合理，人员及分工配置科学，能够较好满足拍卖辅助服务要求，得20分； </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客户服务</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能接受热线电话咨询、投诉，并及时反馈答复有关问题的情况，得2分；</w:t>
            </w:r>
          </w:p>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能接受热线电话咨询、投诉，并及时反馈答复有关问题的情况，电话提供录音可回放或下载查询的情况，得4分；</w:t>
            </w:r>
          </w:p>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能接受热线电话咨询、投诉，并及时反馈答复有关问题的情况，电话提供录音可回放或下载查询的情况，并提供电话号码、工作制度、人员配置和服务情况介绍得6分。</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3</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企业管理制度（15分）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投标人具有完善的企业管理制度，包含但不限于拍品征集管理制度、业务学习培训制度、客户服务中心管理制度、合同管理制度、岗位职责制度等，优得15分，良得10分，一般得5分，差或未提供不得分。</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 </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4</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拍卖师数量</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投标人每具有1名执业注册资格的拍卖师得2分，满分8分。（提供相关证书复印件加盖公章）</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8 </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5</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专业技术人员（10分）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与完成网络司法拍卖辅助工作范围所适应的专业人员的（法律、估价、会计、审计、计算机等），每提供1人得2分，满分10分。（提供在职人员的社保缴纳证明（此项同一人多个证书不重复计分，退休人员可提供与投标单位签订的劳动合同复印件）及相关专业证明材料复印件并加盖公章）</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6</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拍卖辅助培训的情况（6分）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参加拍卖行业举办司法网络拍卖辅助培训并结业的,1人得3分，满分6分，无培训不得分。（提供相关证书复印件加盖公章，不提供不得分，原件备查。）</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7</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技术平台</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单位具有网络司法拍卖辅助工作信息化技术平台的，得5分。该技术平台应可以记录不同种类标的物属性信息、拍卖信息、辅助工作内容、展示标的物信息的情况，提供移动端法官监管功能并实时掌握工作进度的情况。（提供技术平台权属证明或专业技术平台的授权、功能介绍和功能界面抓图）</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8</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办公场所</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在本地具有用于开展网络司法拍卖辅助工作的固定办公场所的，得4分。（提供产权证明或租赁合同复印件并加盖公章）</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9</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办公设备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具有用于开展网络司法拍卖辅助工作所需的720度全景拍摄相机、4K摄像无人机设备的，每提供1份得3分，满分6分。（提供设备发票复印件并加盖公章）</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720" w:hRule="atLeast"/>
        </w:trPr>
        <w:tc>
          <w:tcPr>
            <w:tcW w:w="323" w:type="pct"/>
            <w:tcBorders>
              <w:top w:val="single" w:color="auto"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10</w:t>
            </w:r>
          </w:p>
        </w:tc>
        <w:tc>
          <w:tcPr>
            <w:tcW w:w="791"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办公车辆</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（6分）</w:t>
            </w:r>
          </w:p>
        </w:tc>
        <w:tc>
          <w:tcPr>
            <w:tcW w:w="3534"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具有用于接受我院委托开展网络司法拍卖辅助工作所需的办公车辆的，每提供1辆得2分，满分6分。（提供登记于投标单位的车辆行驶证复印件并加盖公章）</w:t>
            </w:r>
          </w:p>
        </w:tc>
        <w:tc>
          <w:tcPr>
            <w:tcW w:w="350"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1200" w:hRule="atLeast"/>
        </w:trPr>
        <w:tc>
          <w:tcPr>
            <w:tcW w:w="323" w:type="pc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类似业绩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35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w:t>
            </w:r>
            <w:r>
              <w:rPr>
                <w:rFonts w:hint="eastAsia" w:ascii="宋体" w:hAnsi="宋体" w:eastAsia="宋体" w:cs="宋体"/>
                <w:i w:val="0"/>
                <w:color w:val="000000"/>
                <w:sz w:val="20"/>
                <w:szCs w:val="20"/>
                <w:u w:val="none"/>
                <w:lang w:val="en-US" w:eastAsia="zh-CN"/>
              </w:rPr>
              <w:t>20</w:t>
            </w:r>
            <w:r>
              <w:rPr>
                <w:rFonts w:hint="eastAsia" w:ascii="宋体" w:hAnsi="宋体" w:cs="宋体"/>
                <w:i w:val="0"/>
                <w:color w:val="000000"/>
                <w:sz w:val="20"/>
                <w:szCs w:val="20"/>
                <w:u w:val="none"/>
                <w:lang w:val="en-US" w:eastAsia="zh-CN"/>
              </w:rPr>
              <w:t>20</w:t>
            </w:r>
            <w:r>
              <w:rPr>
                <w:rFonts w:hint="eastAsia" w:ascii="宋体" w:hAnsi="宋体" w:eastAsia="宋体" w:cs="宋体"/>
                <w:i w:val="0"/>
                <w:color w:val="000000"/>
                <w:sz w:val="20"/>
                <w:szCs w:val="20"/>
                <w:u w:val="none"/>
                <w:lang w:val="en-US" w:eastAsia="zh-CN"/>
              </w:rPr>
              <w:t>年以来</w:t>
            </w:r>
            <w:r>
              <w:rPr>
                <w:rFonts w:hint="eastAsia" w:ascii="宋体" w:hAnsi="宋体" w:eastAsia="宋体" w:cs="宋体"/>
                <w:i w:val="0"/>
                <w:color w:val="000000"/>
                <w:sz w:val="20"/>
                <w:szCs w:val="20"/>
                <w:u w:val="none"/>
              </w:rPr>
              <w:t>，在全国法院系统提供司法拍卖辅助服务，得2分；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w:t>
            </w:r>
            <w:r>
              <w:rPr>
                <w:rFonts w:hint="eastAsia" w:ascii="宋体" w:hAnsi="宋体" w:eastAsia="宋体" w:cs="宋体"/>
                <w:i w:val="0"/>
                <w:color w:val="000000"/>
                <w:sz w:val="20"/>
                <w:szCs w:val="20"/>
                <w:u w:val="none"/>
                <w:lang w:val="en-US" w:eastAsia="zh-CN"/>
              </w:rPr>
              <w:t>20</w:t>
            </w:r>
            <w:r>
              <w:rPr>
                <w:rFonts w:hint="eastAsia" w:ascii="宋体" w:hAnsi="宋体" w:cs="宋体"/>
                <w:i w:val="0"/>
                <w:color w:val="000000"/>
                <w:sz w:val="20"/>
                <w:szCs w:val="20"/>
                <w:u w:val="none"/>
                <w:lang w:val="en-US" w:eastAsia="zh-CN"/>
              </w:rPr>
              <w:t>20</w:t>
            </w:r>
            <w:r>
              <w:rPr>
                <w:rFonts w:hint="eastAsia" w:ascii="宋体" w:hAnsi="宋体" w:eastAsia="宋体" w:cs="宋体"/>
                <w:i w:val="0"/>
                <w:color w:val="000000"/>
                <w:sz w:val="20"/>
                <w:szCs w:val="20"/>
                <w:u w:val="none"/>
                <w:lang w:val="en-US" w:eastAsia="zh-CN"/>
              </w:rPr>
              <w:t>年以来</w:t>
            </w:r>
            <w:r>
              <w:rPr>
                <w:rFonts w:hint="eastAsia" w:ascii="宋体" w:hAnsi="宋体" w:eastAsia="宋体" w:cs="宋体"/>
                <w:i w:val="0"/>
                <w:color w:val="000000"/>
                <w:sz w:val="20"/>
                <w:szCs w:val="20"/>
                <w:u w:val="none"/>
              </w:rPr>
              <w:t>，在全国法院系统提供司法网络拍卖辅助服务，得</w:t>
            </w:r>
            <w:r>
              <w:rPr>
                <w:rFonts w:hint="eastAsia" w:ascii="宋体" w:hAnsi="宋体" w:eastAsia="宋体" w:cs="宋体"/>
                <w:i w:val="0"/>
                <w:color w:val="000000"/>
                <w:sz w:val="20"/>
                <w:szCs w:val="20"/>
                <w:u w:val="none"/>
                <w:lang w:val="en-US" w:eastAsia="zh-CN"/>
              </w:rPr>
              <w:t>5</w:t>
            </w:r>
            <w:r>
              <w:rPr>
                <w:rFonts w:hint="eastAsia" w:ascii="宋体" w:hAnsi="宋体" w:eastAsia="宋体" w:cs="宋体"/>
                <w:i w:val="0"/>
                <w:color w:val="000000"/>
                <w:sz w:val="20"/>
                <w:szCs w:val="20"/>
                <w:u w:val="none"/>
              </w:rPr>
              <w:t>分；</w:t>
            </w:r>
          </w:p>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（提供合同复印件并加盖公章）</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200" w:hRule="atLeast"/>
        </w:trPr>
        <w:tc>
          <w:tcPr>
            <w:tcW w:w="323" w:type="pc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成交案例（9分）</w:t>
            </w:r>
          </w:p>
        </w:tc>
        <w:tc>
          <w:tcPr>
            <w:tcW w:w="35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r>
              <w:rPr>
                <w:rFonts w:hint="eastAsia" w:ascii="宋体" w:hAnsi="宋体"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年以来，在拍卖平台有拍卖成交案例的，每成交一个得3分，满分9分。（提供证明材料）</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435" w:hRule="atLeast"/>
        </w:trPr>
        <w:tc>
          <w:tcPr>
            <w:tcW w:w="323" w:type="pc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w:t>
            </w:r>
          </w:p>
        </w:tc>
        <w:tc>
          <w:tcPr>
            <w:tcW w:w="4326"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总分（</w:t>
            </w:r>
            <w:r>
              <w:rPr>
                <w:rFonts w:hint="eastAsia" w:ascii="宋体" w:hAnsi="宋体" w:eastAsia="宋体" w:cs="宋体"/>
                <w:i w:val="0"/>
                <w:color w:val="000000"/>
                <w:sz w:val="20"/>
                <w:szCs w:val="20"/>
                <w:u w:val="none"/>
                <w:lang w:val="en-US" w:eastAsia="zh-CN"/>
              </w:rPr>
              <w:t>100分</w:t>
            </w:r>
            <w:r>
              <w:rPr>
                <w:rFonts w:hint="eastAsia" w:ascii="宋体" w:hAnsi="宋体" w:eastAsia="宋体" w:cs="宋体"/>
                <w:i w:val="0"/>
                <w:color w:val="000000"/>
                <w:sz w:val="20"/>
                <w:szCs w:val="20"/>
                <w:u w:val="none"/>
                <w:lang w:eastAsia="zh-CN"/>
              </w:rPr>
              <w:t>）</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656E"/>
    <w:rsid w:val="475C656E"/>
    <w:rsid w:val="5FEFA440"/>
    <w:rsid w:val="68F32ADF"/>
    <w:rsid w:val="DD4FD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Unicode MS" w:hAnsi="Arial Unicode MS" w:eastAsia="Cambria Math"/>
      <w:b/>
      <w:bCs/>
      <w:kern w:val="2"/>
      <w:sz w:val="32"/>
      <w:szCs w:val="3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2024-03-27T00:44:00Z</dcterms:created>
  <dc:creator>lenovo</dc:creator>
  <cp:lastModifiedBy>Administrator</cp:lastModifiedBy>
  <cp:lastPrinted>2024-03-29T10:45:17Z</cp:lastPrinted>
  <dcterms:modified xsi:type="dcterms:W3CDTF">2024-04-10T07:50:53Z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