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微软雅黑" w:eastAsia="方正小标宋简体"/>
          <w:sz w:val="36"/>
          <w:szCs w:val="36"/>
        </w:rPr>
      </w:pPr>
      <w:r>
        <w:rPr>
          <w:rFonts w:hint="eastAsia" w:ascii="黑体" w:hAnsi="黑体" w:eastAsia="黑体" w:cs="黑体"/>
          <w:b/>
          <w:bCs/>
          <w:sz w:val="44"/>
          <w:szCs w:val="44"/>
        </w:rPr>
        <w:t>退费账户确认书</w:t>
      </w:r>
    </w:p>
    <w:tbl>
      <w:tblPr>
        <w:tblStyle w:val="4"/>
        <w:tblW w:w="9621" w:type="dxa"/>
        <w:jc w:val="center"/>
        <w:tblLayout w:type="fixed"/>
        <w:tblCellMar>
          <w:top w:w="0" w:type="dxa"/>
          <w:left w:w="108" w:type="dxa"/>
          <w:bottom w:w="0" w:type="dxa"/>
          <w:right w:w="108" w:type="dxa"/>
        </w:tblCellMar>
      </w:tblPr>
      <w:tblGrid>
        <w:gridCol w:w="1508"/>
        <w:gridCol w:w="2268"/>
        <w:gridCol w:w="5845"/>
      </w:tblGrid>
      <w:tr>
        <w:tblPrEx>
          <w:tblCellMar>
            <w:top w:w="0" w:type="dxa"/>
            <w:left w:w="108" w:type="dxa"/>
            <w:bottom w:w="0" w:type="dxa"/>
            <w:right w:w="108" w:type="dxa"/>
          </w:tblCellMar>
        </w:tblPrEx>
        <w:trPr>
          <w:trHeight w:val="496" w:hRule="atLeast"/>
          <w:jc w:val="center"/>
        </w:trPr>
        <w:tc>
          <w:tcPr>
            <w:tcW w:w="1508" w:type="dxa"/>
            <w:tcBorders>
              <w:top w:val="single" w:color="auto" w:sz="4" w:space="0"/>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案由</w:t>
            </w:r>
          </w:p>
        </w:tc>
        <w:tc>
          <w:tcPr>
            <w:tcW w:w="8113" w:type="dxa"/>
            <w:gridSpan w:val="2"/>
            <w:tcBorders>
              <w:top w:val="single" w:color="auto" w:sz="4" w:space="0"/>
              <w:left w:val="nil"/>
              <w:bottom w:val="single" w:color="auto" w:sz="4" w:space="0"/>
              <w:right w:val="single" w:color="auto" w:sz="4" w:space="0"/>
            </w:tcBorders>
            <w:noWrap/>
            <w:vAlign w:val="center"/>
          </w:tcPr>
          <w:p>
            <w:pPr>
              <w:spacing w:before="0" w:after="0"/>
              <w:ind w:hanging="1"/>
              <w:jc w:val="center"/>
            </w:pPr>
          </w:p>
        </w:tc>
      </w:tr>
      <w:tr>
        <w:tblPrEx>
          <w:tblCellMar>
            <w:top w:w="0" w:type="dxa"/>
            <w:left w:w="108" w:type="dxa"/>
            <w:bottom w:w="0" w:type="dxa"/>
            <w:right w:w="108" w:type="dxa"/>
          </w:tblCellMar>
        </w:tblPrEx>
        <w:trPr>
          <w:trHeight w:val="476"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案号</w:t>
            </w:r>
          </w:p>
        </w:tc>
        <w:tc>
          <w:tcPr>
            <w:tcW w:w="8113" w:type="dxa"/>
            <w:gridSpan w:val="2"/>
            <w:tcBorders>
              <w:top w:val="nil"/>
              <w:left w:val="nil"/>
              <w:bottom w:val="single" w:color="auto" w:sz="4" w:space="0"/>
              <w:right w:val="single" w:color="auto" w:sz="4" w:space="0"/>
            </w:tcBorders>
            <w:noWrap/>
            <w:vAlign w:val="center"/>
          </w:tcPr>
          <w:p>
            <w:pPr>
              <w:spacing w:before="0" w:after="0"/>
              <w:ind w:hanging="1"/>
              <w:jc w:val="center"/>
            </w:pPr>
          </w:p>
        </w:tc>
      </w:tr>
      <w:tr>
        <w:tblPrEx>
          <w:tblCellMar>
            <w:top w:w="0" w:type="dxa"/>
            <w:left w:w="108" w:type="dxa"/>
            <w:bottom w:w="0" w:type="dxa"/>
            <w:right w:w="108" w:type="dxa"/>
          </w:tblCellMar>
        </w:tblPrEx>
        <w:trPr>
          <w:trHeight w:val="756"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告知事项</w:t>
            </w:r>
          </w:p>
        </w:tc>
        <w:tc>
          <w:tcPr>
            <w:tcW w:w="8113" w:type="dxa"/>
            <w:gridSpan w:val="2"/>
            <w:tcBorders>
              <w:top w:val="single" w:color="auto" w:sz="4" w:space="0"/>
              <w:left w:val="nil"/>
              <w:bottom w:val="single" w:color="auto" w:sz="4" w:space="0"/>
              <w:right w:val="single" w:color="auto" w:sz="4" w:space="0"/>
            </w:tcBorders>
            <w:noWrap/>
            <w:vAlign w:val="center"/>
          </w:tcPr>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1.需要向当事人退还诉讼费用的，人民法院自法律文书生效之日起15日内主动退还有关当事人。</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2.为便于当事人及时收到人民法院退还的诉讼费用，当事人应当如实、正确提供用于接收诉讼费用退费的</w:t>
            </w:r>
            <w:r>
              <w:rPr>
                <w:rFonts w:hint="eastAsia" w:ascii="仿宋_GB2312" w:eastAsia="仿宋_GB2312" w:cs="仿宋_GB2312"/>
                <w:b/>
                <w:i w:val="0"/>
                <w:strike w:val="0"/>
                <w:sz w:val="24"/>
                <w:u w:val="none"/>
                <w:vertAlign w:val="baseline"/>
              </w:rPr>
              <w:t>本人有效银行账号</w:t>
            </w:r>
            <w:r>
              <w:rPr>
                <w:rFonts w:hint="eastAsia" w:ascii="仿宋_GB2312" w:eastAsia="仿宋_GB2312" w:cs="仿宋_GB2312"/>
                <w:b w:val="0"/>
                <w:i w:val="0"/>
                <w:strike w:val="0"/>
                <w:sz w:val="24"/>
                <w:u w:val="none"/>
                <w:vertAlign w:val="baseline"/>
              </w:rPr>
              <w:t>。</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3.为保障当事人的合法权益，应当如实、全面填写《退费账户确认书》，并由</w:t>
            </w:r>
            <w:r>
              <w:rPr>
                <w:rFonts w:hint="eastAsia" w:ascii="仿宋_GB2312" w:eastAsia="仿宋_GB2312" w:cs="仿宋_GB2312"/>
                <w:b/>
                <w:i w:val="0"/>
                <w:strike w:val="0"/>
                <w:sz w:val="24"/>
                <w:u w:val="none"/>
                <w:vertAlign w:val="baseline"/>
              </w:rPr>
              <w:t>本人或经其特别授权的代理人</w:t>
            </w:r>
            <w:r>
              <w:rPr>
                <w:rFonts w:hint="eastAsia" w:ascii="仿宋_GB2312" w:eastAsia="仿宋_GB2312" w:cs="仿宋_GB2312"/>
                <w:b w:val="0"/>
                <w:i w:val="0"/>
                <w:strike w:val="0"/>
                <w:sz w:val="24"/>
                <w:u w:val="none"/>
                <w:vertAlign w:val="baseline"/>
              </w:rPr>
              <w:t>签字按手印确认，当事人有多个的，应当由全部当事人或经其特别授权的代理人签字按手印确认。</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4.指定的收款人非本案当事人本人，需由当事人提供</w:t>
            </w:r>
            <w:r>
              <w:rPr>
                <w:rFonts w:hint="eastAsia" w:ascii="仿宋_GB2312" w:eastAsia="仿宋_GB2312" w:cs="仿宋_GB2312"/>
                <w:b/>
                <w:i w:val="0"/>
                <w:strike w:val="0"/>
                <w:sz w:val="24"/>
                <w:u w:val="none"/>
                <w:vertAlign w:val="baseline"/>
              </w:rPr>
              <w:t>特别授权委托书</w:t>
            </w:r>
            <w:r>
              <w:rPr>
                <w:rFonts w:hint="eastAsia" w:ascii="仿宋_GB2312" w:eastAsia="仿宋_GB2312" w:cs="仿宋_GB2312"/>
                <w:b w:val="0"/>
                <w:i w:val="0"/>
                <w:strike w:val="0"/>
                <w:sz w:val="24"/>
                <w:u w:val="none"/>
                <w:vertAlign w:val="baseline"/>
              </w:rPr>
              <w:t>并由本人签名确认，</w:t>
            </w:r>
            <w:r>
              <w:rPr>
                <w:rFonts w:hint="eastAsia" w:ascii="仿宋_GB2312" w:eastAsia="仿宋_GB2312" w:cs="仿宋_GB2312"/>
                <w:b/>
                <w:bCs/>
                <w:i w:val="0"/>
                <w:strike w:val="0"/>
                <w:sz w:val="24"/>
                <w:u w:val="none"/>
                <w:vertAlign w:val="baseline"/>
              </w:rPr>
              <w:t>经法院审查后予以办理</w:t>
            </w:r>
            <w:r>
              <w:rPr>
                <w:rFonts w:hint="eastAsia" w:ascii="仿宋_GB2312" w:eastAsia="仿宋_GB2312" w:cs="仿宋_GB2312"/>
                <w:b w:val="0"/>
                <w:i w:val="0"/>
                <w:strike w:val="0"/>
                <w:sz w:val="24"/>
                <w:u w:val="none"/>
                <w:vertAlign w:val="baseline"/>
              </w:rPr>
              <w:t>。</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5.当事人确认的诉讼费退费银行账户适用于案件</w:t>
            </w:r>
            <w:r>
              <w:rPr>
                <w:rFonts w:hint="eastAsia" w:ascii="仿宋_GB2312" w:eastAsia="仿宋_GB2312" w:cs="仿宋_GB2312"/>
                <w:b/>
                <w:i w:val="0"/>
                <w:strike w:val="0"/>
                <w:sz w:val="24"/>
                <w:u w:val="none"/>
                <w:vertAlign w:val="baseline"/>
              </w:rPr>
              <w:t>各个诉讼阶段</w:t>
            </w:r>
            <w:r>
              <w:rPr>
                <w:rFonts w:hint="eastAsia" w:ascii="仿宋_GB2312" w:eastAsia="仿宋_GB2312" w:cs="仿宋_GB2312"/>
                <w:b w:val="0"/>
                <w:i w:val="0"/>
                <w:strike w:val="0"/>
                <w:sz w:val="24"/>
                <w:u w:val="none"/>
                <w:vertAlign w:val="baseline"/>
              </w:rPr>
              <w:t>，包括一审，二审以及再审。</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6.在案件审理期间及人民法院退还费用前，如诉讼费退费银行账户有变更的，当事人应及时向人民法院提交新的《退费账户确认书》。</w:t>
            </w:r>
          </w:p>
          <w:p>
            <w:pPr>
              <w:spacing w:before="0" w:after="0" w:line="300" w:lineRule="exact"/>
              <w:ind w:left="240" w:hanging="240" w:hangingChars="100"/>
              <w:jc w:val="left"/>
            </w:pPr>
            <w:r>
              <w:rPr>
                <w:rFonts w:hint="eastAsia" w:ascii="仿宋_GB2312" w:eastAsia="仿宋_GB2312" w:cs="仿宋_GB2312"/>
                <w:b w:val="0"/>
                <w:i w:val="0"/>
                <w:strike w:val="0"/>
                <w:sz w:val="24"/>
                <w:u w:val="none"/>
                <w:vertAlign w:val="baseline"/>
              </w:rPr>
              <w:t>7.如果当事人提供的诉讼费退费银行账号</w:t>
            </w:r>
            <w:r>
              <w:rPr>
                <w:rFonts w:hint="eastAsia" w:ascii="仿宋_GB2312" w:eastAsia="仿宋_GB2312" w:cs="仿宋_GB2312"/>
                <w:b/>
                <w:i w:val="0"/>
                <w:strike w:val="0"/>
                <w:sz w:val="24"/>
                <w:u w:val="none"/>
                <w:vertAlign w:val="baseline"/>
              </w:rPr>
              <w:t>不准确或者变更后不及时更改提交法院</w:t>
            </w:r>
            <w:r>
              <w:rPr>
                <w:rFonts w:hint="eastAsia" w:ascii="仿宋_GB2312" w:eastAsia="仿宋_GB2312" w:cs="仿宋_GB2312"/>
                <w:b w:val="0"/>
                <w:i w:val="0"/>
                <w:strike w:val="0"/>
                <w:sz w:val="24"/>
                <w:u w:val="none"/>
                <w:vertAlign w:val="baseline"/>
              </w:rPr>
              <w:t>，导致法院无法办理退费的，当事人</w:t>
            </w:r>
            <w:r>
              <w:rPr>
                <w:rFonts w:hint="eastAsia" w:ascii="仿宋_GB2312" w:eastAsia="仿宋_GB2312" w:cs="仿宋_GB2312"/>
                <w:b/>
                <w:i w:val="0"/>
                <w:strike w:val="0"/>
                <w:sz w:val="24"/>
                <w:u w:val="none"/>
                <w:vertAlign w:val="baseline"/>
              </w:rPr>
              <w:t>自行承担退费延迟后果</w:t>
            </w:r>
            <w:r>
              <w:rPr>
                <w:rFonts w:hint="eastAsia" w:ascii="仿宋_GB2312" w:eastAsia="仿宋_GB2312" w:cs="仿宋_GB2312"/>
                <w:b w:val="0"/>
                <w:i w:val="0"/>
                <w:strike w:val="0"/>
                <w:sz w:val="24"/>
                <w:u w:val="none"/>
                <w:vertAlign w:val="baseline"/>
              </w:rPr>
              <w:t>。</w:t>
            </w:r>
          </w:p>
        </w:tc>
      </w:tr>
      <w:tr>
        <w:tblPrEx>
          <w:tblCellMar>
            <w:top w:w="0" w:type="dxa"/>
            <w:left w:w="108" w:type="dxa"/>
            <w:bottom w:w="0" w:type="dxa"/>
            <w:right w:w="108" w:type="dxa"/>
          </w:tblCellMar>
        </w:tblPrEx>
        <w:trPr>
          <w:trHeight w:val="567" w:hRule="exact"/>
          <w:jc w:val="center"/>
        </w:trPr>
        <w:tc>
          <w:tcPr>
            <w:tcW w:w="1508" w:type="dxa"/>
            <w:vMerge w:val="restart"/>
            <w:tcBorders>
              <w:top w:val="nil"/>
              <w:left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银行账号</w:t>
            </w:r>
          </w:p>
        </w:tc>
        <w:tc>
          <w:tcPr>
            <w:tcW w:w="2268" w:type="dxa"/>
            <w:tcBorders>
              <w:top w:val="single" w:color="auto" w:sz="4" w:space="0"/>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收款人名称</w:t>
            </w:r>
          </w:p>
        </w:tc>
        <w:tc>
          <w:tcPr>
            <w:tcW w:w="5845"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身份证号码</w:t>
            </w:r>
          </w:p>
          <w:p>
            <w:pPr>
              <w:spacing w:before="0" w:after="0" w:line="300" w:lineRule="exact"/>
              <w:ind w:hanging="1"/>
              <w:jc w:val="center"/>
            </w:pPr>
            <w:r>
              <w:rPr>
                <w:rFonts w:hint="eastAsia" w:ascii="仿宋_GB2312" w:eastAsia="仿宋_GB2312" w:cs="仿宋_GB2312"/>
                <w:b w:val="0"/>
                <w:i w:val="0"/>
                <w:strike w:val="0"/>
                <w:sz w:val="24"/>
                <w:u w:val="none"/>
                <w:vertAlign w:val="baseline"/>
              </w:rPr>
              <w:t>（统一社会代码）</w:t>
            </w:r>
          </w:p>
        </w:tc>
        <w:tc>
          <w:tcPr>
            <w:tcW w:w="5845" w:type="dxa"/>
            <w:tcBorders>
              <w:top w:val="nil"/>
              <w:left w:val="nil"/>
              <w:bottom w:val="single" w:color="auto" w:sz="4" w:space="0"/>
              <w:right w:val="single" w:color="auto" w:sz="4" w:space="0"/>
            </w:tcBorders>
            <w:vAlign w:val="center"/>
          </w:tcPr>
          <w:p>
            <w:pPr>
              <w:tabs>
                <w:tab w:val="left" w:pos="3425"/>
              </w:tabs>
              <w:bidi w:val="0"/>
              <w:jc w:val="left"/>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ab/>
            </w:r>
          </w:p>
        </w:tc>
      </w:tr>
      <w:tr>
        <w:tblPrEx>
          <w:tblCellMar>
            <w:top w:w="0" w:type="dxa"/>
            <w:left w:w="108" w:type="dxa"/>
            <w:bottom w:w="0" w:type="dxa"/>
            <w:right w:w="108" w:type="dxa"/>
          </w:tblCellMar>
        </w:tblPrEx>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收款人账户</w:t>
            </w:r>
          </w:p>
        </w:tc>
        <w:tc>
          <w:tcPr>
            <w:tcW w:w="5845" w:type="dxa"/>
            <w:tcBorders>
              <w:top w:val="nil"/>
              <w:left w:val="nil"/>
              <w:bottom w:val="single" w:color="auto" w:sz="4" w:space="0"/>
              <w:right w:val="single" w:color="auto" w:sz="4" w:space="0"/>
            </w:tcBorders>
            <w:vAlign w:val="center"/>
          </w:tcPr>
          <w:p>
            <w:pPr>
              <w:widowControl/>
              <w:jc w:val="left"/>
              <w:rPr>
                <w:rFonts w:hint="default"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567" w:hRule="exact"/>
          <w:jc w:val="center"/>
        </w:trPr>
        <w:tc>
          <w:tcPr>
            <w:tcW w:w="1508" w:type="dxa"/>
            <w:vMerge w:val="continue"/>
            <w:tcBorders>
              <w:left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lang w:eastAsia="zh-CN"/>
              </w:rPr>
              <w:t>收款账户开户行</w:t>
            </w:r>
            <w:bookmarkStart w:id="0" w:name="_GoBack"/>
            <w:bookmarkEnd w:id="0"/>
          </w:p>
        </w:tc>
        <w:tc>
          <w:tcPr>
            <w:tcW w:w="5845"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lang w:eastAsia="zh-CN"/>
              </w:rPr>
            </w:pPr>
          </w:p>
        </w:tc>
      </w:tr>
      <w:tr>
        <w:tblPrEx>
          <w:tblCellMar>
            <w:top w:w="0" w:type="dxa"/>
            <w:left w:w="108" w:type="dxa"/>
            <w:bottom w:w="0" w:type="dxa"/>
            <w:right w:w="108" w:type="dxa"/>
          </w:tblCellMar>
        </w:tblPrEx>
        <w:trPr>
          <w:trHeight w:val="567" w:hRule="exact"/>
          <w:jc w:val="center"/>
        </w:trPr>
        <w:tc>
          <w:tcPr>
            <w:tcW w:w="1508"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4"/>
                <w:szCs w:val="24"/>
              </w:rPr>
            </w:pPr>
          </w:p>
        </w:tc>
        <w:tc>
          <w:tcPr>
            <w:tcW w:w="2268" w:type="dxa"/>
            <w:tcBorders>
              <w:top w:val="nil"/>
              <w:left w:val="nil"/>
              <w:bottom w:val="single" w:color="auto" w:sz="4" w:space="0"/>
              <w:right w:val="single" w:color="auto" w:sz="4" w:space="0"/>
            </w:tcBorders>
            <w:noWrap/>
            <w:vAlign w:val="center"/>
          </w:tcPr>
          <w:p>
            <w:pPr>
              <w:spacing w:before="0" w:after="0" w:line="300" w:lineRule="exact"/>
              <w:ind w:hanging="1"/>
              <w:jc w:val="center"/>
            </w:pPr>
            <w:r>
              <w:rPr>
                <w:rFonts w:hint="eastAsia" w:ascii="仿宋_GB2312" w:eastAsia="仿宋_GB2312" w:cs="仿宋_GB2312"/>
                <w:b w:val="0"/>
                <w:i w:val="0"/>
                <w:strike w:val="0"/>
                <w:sz w:val="24"/>
                <w:u w:val="none"/>
                <w:vertAlign w:val="baseline"/>
              </w:rPr>
              <w:t>联系方式</w:t>
            </w:r>
          </w:p>
        </w:tc>
        <w:tc>
          <w:tcPr>
            <w:tcW w:w="5845" w:type="dxa"/>
            <w:tcBorders>
              <w:top w:val="nil"/>
              <w:left w:val="nil"/>
              <w:bottom w:val="single" w:color="auto" w:sz="4" w:space="0"/>
              <w:right w:val="single" w:color="auto" w:sz="4" w:space="0"/>
            </w:tcBorders>
            <w:vAlign w:val="center"/>
          </w:tcPr>
          <w:p>
            <w:pPr>
              <w:widowControl/>
              <w:jc w:val="left"/>
              <w:rPr>
                <w:rFonts w:hint="default"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2854" w:hRule="atLeast"/>
          <w:jc w:val="center"/>
        </w:trPr>
        <w:tc>
          <w:tcPr>
            <w:tcW w:w="1508" w:type="dxa"/>
            <w:tcBorders>
              <w:top w:val="nil"/>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当事人确认</w:t>
            </w:r>
          </w:p>
        </w:tc>
        <w:tc>
          <w:tcPr>
            <w:tcW w:w="8113" w:type="dxa"/>
            <w:gridSpan w:val="2"/>
            <w:tcBorders>
              <w:top w:val="nil"/>
              <w:left w:val="single" w:color="auto" w:sz="4" w:space="0"/>
              <w:right w:val="single" w:color="auto" w:sz="4" w:space="0"/>
            </w:tcBorders>
          </w:tcPr>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□我已阅读本确认书的告知事项，提供的上述银行账号正确、有效，请将诉讼费用退款转（汇）入上述银行账户。</w:t>
            </w:r>
          </w:p>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□我已阅读本确认书的告知事项，但无银行账户或不愿意提供银行账户。</w:t>
            </w:r>
          </w:p>
          <w:p>
            <w:pPr>
              <w:spacing w:before="0" w:after="0" w:line="300" w:lineRule="exact"/>
              <w:ind w:hanging="1"/>
              <w:jc w:val="left"/>
            </w:pPr>
            <w:r>
              <w:rPr>
                <w:rFonts w:hint="eastAsia" w:ascii="仿宋_GB2312" w:eastAsia="仿宋_GB2312" w:cs="仿宋_GB2312"/>
                <w:b w:val="0"/>
                <w:i w:val="0"/>
                <w:strike w:val="0"/>
                <w:sz w:val="24"/>
                <w:u w:val="none"/>
                <w:vertAlign w:val="baseline"/>
              </w:rPr>
              <w:t>□我已阅读本确认书的告知事项，但自愿承担或同意败诉方直接向本人支付由本人预交而不应承担的诉讼费用。</w:t>
            </w:r>
          </w:p>
          <w:p>
            <w:pPr>
              <w:spacing w:before="0" w:after="0" w:line="300" w:lineRule="exact"/>
              <w:ind w:right="840" w:rightChars="400"/>
              <w:jc w:val="right"/>
            </w:pPr>
          </w:p>
          <w:p>
            <w:pPr>
              <w:spacing w:before="0" w:after="0" w:line="300" w:lineRule="exact"/>
              <w:ind w:right="840" w:rightChars="400"/>
              <w:jc w:val="right"/>
            </w:pPr>
            <w:r>
              <w:rPr>
                <w:rFonts w:hint="eastAsia" w:ascii="仿宋_GB2312" w:eastAsia="仿宋_GB2312" w:cs="仿宋_GB2312"/>
                <w:b w:val="0"/>
                <w:i w:val="0"/>
                <w:strike w:val="0"/>
                <w:sz w:val="24"/>
                <w:u w:val="none"/>
                <w:vertAlign w:val="baseline"/>
              </w:rPr>
              <w:t>当事人（代理人）签名或盖章</w:t>
            </w:r>
          </w:p>
          <w:p>
            <w:pPr>
              <w:spacing w:before="0" w:after="0"/>
              <w:ind w:right="420" w:rightChars="200"/>
              <w:jc w:val="right"/>
            </w:pPr>
            <w:r>
              <w:rPr>
                <w:rFonts w:hint="eastAsia" w:ascii="仿宋_GB2312" w:eastAsia="仿宋_GB2312" w:cs="仿宋_GB2312"/>
                <w:b w:val="0"/>
                <w:i w:val="0"/>
                <w:strike w:val="0"/>
                <w:sz w:val="24"/>
                <w:u w:val="none"/>
                <w:vertAlign w:val="baseline"/>
              </w:rPr>
              <w:t>年   月   日</w:t>
            </w:r>
          </w:p>
        </w:tc>
      </w:tr>
      <w:tr>
        <w:tblPrEx>
          <w:tblCellMar>
            <w:top w:w="0" w:type="dxa"/>
            <w:left w:w="108" w:type="dxa"/>
            <w:bottom w:w="0" w:type="dxa"/>
            <w:right w:w="108" w:type="dxa"/>
          </w:tblCellMar>
        </w:tblPrEx>
        <w:trPr>
          <w:trHeight w:val="566" w:hRule="atLeast"/>
          <w:jc w:val="center"/>
        </w:trPr>
        <w:tc>
          <w:tcPr>
            <w:tcW w:w="1508" w:type="dxa"/>
            <w:tcBorders>
              <w:top w:val="single" w:color="auto" w:sz="4" w:space="0"/>
              <w:left w:val="single" w:color="auto" w:sz="4" w:space="0"/>
              <w:bottom w:val="single" w:color="auto" w:sz="4" w:space="0"/>
              <w:right w:val="single" w:color="auto" w:sz="4" w:space="0"/>
            </w:tcBorders>
            <w:noWrap/>
            <w:vAlign w:val="center"/>
          </w:tcPr>
          <w:p>
            <w:pPr>
              <w:spacing w:before="0" w:after="0"/>
              <w:ind w:hanging="1"/>
              <w:jc w:val="center"/>
            </w:pPr>
            <w:r>
              <w:rPr>
                <w:rFonts w:hint="eastAsia" w:ascii="仿宋_GB2312" w:eastAsia="仿宋_GB2312" w:cs="仿宋_GB2312"/>
                <w:b w:val="0"/>
                <w:i w:val="0"/>
                <w:strike w:val="0"/>
                <w:sz w:val="24"/>
                <w:u w:val="none"/>
                <w:vertAlign w:val="baseline"/>
              </w:rPr>
              <w:t>备注：</w:t>
            </w:r>
          </w:p>
        </w:tc>
        <w:tc>
          <w:tcPr>
            <w:tcW w:w="8113" w:type="dxa"/>
            <w:gridSpan w:val="2"/>
            <w:tcBorders>
              <w:top w:val="single" w:color="auto" w:sz="4" w:space="0"/>
              <w:left w:val="nil"/>
              <w:bottom w:val="single" w:color="auto" w:sz="4" w:space="0"/>
              <w:right w:val="single" w:color="000000" w:sz="4" w:space="0"/>
            </w:tcBorders>
            <w:noWrap/>
            <w:vAlign w:val="center"/>
          </w:tcPr>
          <w:p>
            <w:pPr>
              <w:spacing w:before="0" w:after="0" w:line="300" w:lineRule="exact"/>
              <w:ind w:hanging="1"/>
              <w:jc w:val="left"/>
            </w:pPr>
            <w:r>
              <w:rPr>
                <w:rFonts w:hint="eastAsia" w:ascii="仿宋_GB2312" w:eastAsia="仿宋_GB2312" w:cs="仿宋_GB2312"/>
                <w:b/>
                <w:i w:val="0"/>
                <w:strike w:val="0"/>
                <w:sz w:val="24"/>
                <w:u w:val="none"/>
                <w:vertAlign w:val="baseline"/>
              </w:rPr>
              <w:t>“一般委托诉讼代理人”无权办理诉讼费退费确认手续</w:t>
            </w:r>
            <w:r>
              <w:rPr>
                <w:rFonts w:hint="eastAsia" w:ascii="仿宋_GB2312" w:eastAsia="仿宋_GB2312" w:cs="仿宋_GB2312"/>
                <w:b w:val="0"/>
                <w:i w:val="0"/>
                <w:strike w:val="0"/>
                <w:sz w:val="24"/>
                <w:u w:val="none"/>
                <w:vertAlign w:val="baseline"/>
              </w:rPr>
              <w:t>，特别授权应明确可代为</w:t>
            </w:r>
            <w:r>
              <w:rPr>
                <w:rFonts w:hint="eastAsia" w:ascii="仿宋_GB2312" w:eastAsia="仿宋_GB2312" w:cs="仿宋_GB2312"/>
                <w:b w:val="0"/>
                <w:i w:val="0"/>
                <w:strike w:val="0"/>
                <w:sz w:val="24"/>
                <w:u w:val="none"/>
                <w:vertAlign w:val="baseline"/>
                <w:lang w:eastAsia="zh-CN"/>
              </w:rPr>
              <w:t>办理</w:t>
            </w:r>
            <w:r>
              <w:rPr>
                <w:rFonts w:hint="eastAsia" w:ascii="仿宋_GB2312" w:eastAsia="仿宋_GB2312" w:cs="仿宋_GB2312"/>
                <w:b w:val="0"/>
                <w:i w:val="0"/>
                <w:strike w:val="0"/>
                <w:sz w:val="24"/>
                <w:u w:val="none"/>
                <w:vertAlign w:val="baseline"/>
              </w:rPr>
              <w:t>诉讼费用退款。</w:t>
            </w:r>
          </w:p>
        </w:tc>
      </w:tr>
    </w:tbl>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pPr>
      <w:r>
        <w:rPr>
          <w:rFonts w:hint="eastAsia" w:ascii="宋体" w:hAnsi="宋体" w:eastAsia="宋体" w:cs="宋体"/>
          <w:sz w:val="22"/>
          <w:szCs w:val="22"/>
        </w:rPr>
        <w:t>温馨提示：1.开户行必须具体到支行（或分行，分理处），如不清楚开户行可自行拨打银行卡背面的客户服务电话咨询；2.填写过程中如遇到问题可致电12368咨询。</w:t>
      </w:r>
    </w:p>
    <w:sectPr>
      <w:pgSz w:w="11906" w:h="16838"/>
      <w:pgMar w:top="1134" w:right="1800" w:bottom="1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8A"/>
    <w:rsid w:val="001B7F37"/>
    <w:rsid w:val="001D6AE4"/>
    <w:rsid w:val="00401589"/>
    <w:rsid w:val="004C73E9"/>
    <w:rsid w:val="006D2C8A"/>
    <w:rsid w:val="00850BB0"/>
    <w:rsid w:val="00A72283"/>
    <w:rsid w:val="00FC2C81"/>
    <w:rsid w:val="07FA3B5C"/>
    <w:rsid w:val="0EBE6C59"/>
    <w:rsid w:val="100C4928"/>
    <w:rsid w:val="143F7D4D"/>
    <w:rsid w:val="163F2259"/>
    <w:rsid w:val="1889505C"/>
    <w:rsid w:val="1F235025"/>
    <w:rsid w:val="1F7D3E3F"/>
    <w:rsid w:val="27752485"/>
    <w:rsid w:val="2DBC02E2"/>
    <w:rsid w:val="2EAF3F27"/>
    <w:rsid w:val="2EB756AD"/>
    <w:rsid w:val="30284FD8"/>
    <w:rsid w:val="3122527E"/>
    <w:rsid w:val="33C869FE"/>
    <w:rsid w:val="34F9492E"/>
    <w:rsid w:val="392F0C27"/>
    <w:rsid w:val="396E140B"/>
    <w:rsid w:val="3A4707E1"/>
    <w:rsid w:val="3E7E1455"/>
    <w:rsid w:val="40D3642E"/>
    <w:rsid w:val="42D53A71"/>
    <w:rsid w:val="42D93998"/>
    <w:rsid w:val="449F45AF"/>
    <w:rsid w:val="475A068B"/>
    <w:rsid w:val="49B0229D"/>
    <w:rsid w:val="4A65042A"/>
    <w:rsid w:val="4D4843AC"/>
    <w:rsid w:val="504D6314"/>
    <w:rsid w:val="55A814EE"/>
    <w:rsid w:val="582378BE"/>
    <w:rsid w:val="59A71A70"/>
    <w:rsid w:val="5A2D70F8"/>
    <w:rsid w:val="5A967163"/>
    <w:rsid w:val="5ABA5F94"/>
    <w:rsid w:val="5ED40248"/>
    <w:rsid w:val="5F0F0D94"/>
    <w:rsid w:val="5F9E794A"/>
    <w:rsid w:val="61EF1030"/>
    <w:rsid w:val="65873662"/>
    <w:rsid w:val="65C77B53"/>
    <w:rsid w:val="676F384B"/>
    <w:rsid w:val="68003705"/>
    <w:rsid w:val="6CE604A1"/>
    <w:rsid w:val="6DF828CC"/>
    <w:rsid w:val="6FFE30B1"/>
    <w:rsid w:val="7A0C3FBF"/>
    <w:rsid w:val="7A514FE8"/>
    <w:rsid w:val="7B57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eastAsia="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Words>
  <Characters>730</Characters>
  <Lines>6</Lines>
  <Paragraphs>1</Paragraphs>
  <TotalTime>0</TotalTime>
  <ScaleCrop>false</ScaleCrop>
  <LinksUpToDate>false</LinksUpToDate>
  <CharactersWithSpaces>856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2021-03-12T03:08:00Z</dcterms:created>
  <dc:creator>邓志刚1</dc:creator>
  <cp:lastModifiedBy>Administrator</cp:lastModifiedBy>
  <cp:lastPrinted>2023-12-11T07:16:00Z</cp:lastPrinted>
  <dcterms:modified xsi:type="dcterms:W3CDTF">2024-04-22T03:50:11Z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